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F3A3A" w14:textId="77777777" w:rsidR="005E06E6" w:rsidRDefault="005E06E6">
      <w:pPr>
        <w:jc w:val="both"/>
      </w:pPr>
    </w:p>
    <w:tbl>
      <w:tblPr>
        <w:tblStyle w:val="Grilledutableau"/>
        <w:tblW w:w="0" w:type="auto"/>
        <w:tblLook w:val="04A0" w:firstRow="1" w:lastRow="0" w:firstColumn="1" w:lastColumn="0" w:noHBand="0" w:noVBand="1"/>
      </w:tblPr>
      <w:tblGrid>
        <w:gridCol w:w="4106"/>
        <w:gridCol w:w="4913"/>
      </w:tblGrid>
      <w:tr w:rsidR="00DE5F83" w:rsidRPr="00DE5F83" w14:paraId="4E80A9C4" w14:textId="77777777" w:rsidTr="00DE5F83">
        <w:tc>
          <w:tcPr>
            <w:tcW w:w="4106" w:type="dxa"/>
          </w:tcPr>
          <w:p w14:paraId="79B14050" w14:textId="50D5CF4E" w:rsidR="00DE5F83" w:rsidRPr="00DE5F83" w:rsidRDefault="00DE5F83" w:rsidP="001A5062">
            <w:pPr>
              <w:jc w:val="both"/>
            </w:pPr>
            <w:r>
              <w:rPr>
                <w:noProof/>
              </w:rPr>
              <w:drawing>
                <wp:inline distT="0" distB="0" distL="0" distR="0" wp14:anchorId="6619ADD2" wp14:editId="02C16895">
                  <wp:extent cx="2381250" cy="1295400"/>
                  <wp:effectExtent l="0" t="0" r="0" b="0"/>
                  <wp:docPr id="4" name="Image 4" descr="IM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295400"/>
                          </a:xfrm>
                          <a:prstGeom prst="rect">
                            <a:avLst/>
                          </a:prstGeom>
                          <a:noFill/>
                          <a:ln>
                            <a:noFill/>
                          </a:ln>
                        </pic:spPr>
                      </pic:pic>
                    </a:graphicData>
                  </a:graphic>
                </wp:inline>
              </w:drawing>
            </w:r>
          </w:p>
        </w:tc>
        <w:tc>
          <w:tcPr>
            <w:tcW w:w="4913" w:type="dxa"/>
          </w:tcPr>
          <w:p w14:paraId="524787DC" w14:textId="37E190AF" w:rsidR="00DE5F83" w:rsidRPr="00D15245" w:rsidRDefault="00DE5F83" w:rsidP="004D383B">
            <w:pPr>
              <w:jc w:val="center"/>
              <w:rPr>
                <w:b/>
                <w:bCs/>
                <w:sz w:val="32"/>
                <w:szCs w:val="32"/>
              </w:rPr>
            </w:pPr>
            <w:r w:rsidRPr="00D15245">
              <w:rPr>
                <w:b/>
                <w:bCs/>
                <w:sz w:val="32"/>
                <w:szCs w:val="32"/>
              </w:rPr>
              <w:t>AXE 1</w:t>
            </w:r>
          </w:p>
          <w:p w14:paraId="4BCE0108" w14:textId="77777777" w:rsidR="00DE5F83" w:rsidRDefault="00DE5F83" w:rsidP="004D383B">
            <w:pPr>
              <w:jc w:val="center"/>
            </w:pPr>
          </w:p>
          <w:p w14:paraId="78F46C3F" w14:textId="77777777" w:rsidR="00DE5F83" w:rsidRDefault="00DE5F83" w:rsidP="004D383B">
            <w:pPr>
              <w:jc w:val="center"/>
            </w:pPr>
            <w:r>
              <w:t>E</w:t>
            </w:r>
            <w:r w:rsidRPr="00DE5F83">
              <w:t>njeux et usages des dispositifs sociotechniques numériques et des mutations informationnelles</w:t>
            </w:r>
          </w:p>
          <w:p w14:paraId="4D483362" w14:textId="77777777" w:rsidR="00387E16" w:rsidRDefault="00387E16" w:rsidP="004D383B">
            <w:pPr>
              <w:jc w:val="center"/>
            </w:pPr>
          </w:p>
          <w:p w14:paraId="1FFD2BA9" w14:textId="21D9A6B1" w:rsidR="004D383B" w:rsidRPr="00DE5F83" w:rsidRDefault="004D383B" w:rsidP="004D383B">
            <w:pPr>
              <w:jc w:val="center"/>
            </w:pPr>
            <w:r>
              <w:t>Capta</w:t>
            </w:r>
            <w:r w:rsidR="00EA4474">
              <w:t>tions</w:t>
            </w:r>
            <w:r>
              <w:t>, documentation et numérique</w:t>
            </w:r>
          </w:p>
        </w:tc>
      </w:tr>
    </w:tbl>
    <w:p w14:paraId="4D70DB6B" w14:textId="7D9E796D" w:rsidR="005E06E6" w:rsidRDefault="005E06E6">
      <w:pPr>
        <w:jc w:val="both"/>
      </w:pPr>
    </w:p>
    <w:p w14:paraId="43A53778" w14:textId="3D779B70" w:rsidR="005E06E6" w:rsidRPr="00EA4474" w:rsidRDefault="005E06E6">
      <w:pPr>
        <w:jc w:val="both"/>
        <w:rPr>
          <w:b/>
          <w:bCs/>
        </w:rPr>
      </w:pPr>
      <w:r w:rsidRPr="00EA4474">
        <w:rPr>
          <w:b/>
          <w:bCs/>
        </w:rPr>
        <w:t>Coordinateur</w:t>
      </w:r>
      <w:r w:rsidR="0038299A" w:rsidRPr="00EA4474">
        <w:rPr>
          <w:b/>
          <w:bCs/>
        </w:rPr>
        <w:t>/animation</w:t>
      </w:r>
      <w:r w:rsidRPr="00EA4474">
        <w:rPr>
          <w:b/>
          <w:bCs/>
        </w:rPr>
        <w:t> : David R</w:t>
      </w:r>
      <w:r w:rsidR="00EA4474" w:rsidRPr="00EA4474">
        <w:rPr>
          <w:b/>
          <w:bCs/>
        </w:rPr>
        <w:t>eymond</w:t>
      </w:r>
      <w:r w:rsidR="0038299A" w:rsidRPr="00EA4474">
        <w:rPr>
          <w:b/>
          <w:bCs/>
        </w:rPr>
        <w:t xml:space="preserve"> et Hervé </w:t>
      </w:r>
      <w:proofErr w:type="spellStart"/>
      <w:r w:rsidR="0038299A" w:rsidRPr="00EA4474">
        <w:rPr>
          <w:b/>
          <w:bCs/>
        </w:rPr>
        <w:t>Rostaing</w:t>
      </w:r>
      <w:proofErr w:type="spellEnd"/>
      <w:r w:rsidR="0038299A" w:rsidRPr="00EA4474">
        <w:rPr>
          <w:b/>
          <w:bCs/>
        </w:rPr>
        <w:t xml:space="preserve"> </w:t>
      </w:r>
    </w:p>
    <w:p w14:paraId="4C2113B1" w14:textId="77777777" w:rsidR="005E06E6" w:rsidRDefault="005E06E6">
      <w:pPr>
        <w:jc w:val="both"/>
      </w:pPr>
    </w:p>
    <w:p w14:paraId="17173477" w14:textId="7EF269B7" w:rsidR="005E06E6" w:rsidRDefault="005E06E6" w:rsidP="00DE5F83">
      <w:pPr>
        <w:pStyle w:val="Titre"/>
      </w:pPr>
      <w:r>
        <w:t xml:space="preserve">Programme </w:t>
      </w:r>
    </w:p>
    <w:p w14:paraId="20ABA0A2" w14:textId="1A93D7BF" w:rsidR="00B11A98" w:rsidRDefault="00B11A98">
      <w:pPr>
        <w:jc w:val="both"/>
        <w:rPr>
          <w:lang w:val="fr-FR"/>
        </w:rPr>
      </w:pPr>
    </w:p>
    <w:tbl>
      <w:tblPr>
        <w:tblStyle w:val="Grilledutableau"/>
        <w:tblW w:w="0" w:type="auto"/>
        <w:tblLook w:val="04A0" w:firstRow="1" w:lastRow="0" w:firstColumn="1" w:lastColumn="0" w:noHBand="0" w:noVBand="1"/>
      </w:tblPr>
      <w:tblGrid>
        <w:gridCol w:w="1838"/>
        <w:gridCol w:w="992"/>
        <w:gridCol w:w="6189"/>
      </w:tblGrid>
      <w:tr w:rsidR="00071408" w:rsidRPr="004D383B" w14:paraId="41FDE6E9" w14:textId="77777777" w:rsidTr="004D383B">
        <w:tc>
          <w:tcPr>
            <w:tcW w:w="1838" w:type="dxa"/>
          </w:tcPr>
          <w:p w14:paraId="4EC77DB7" w14:textId="0F7B249B" w:rsidR="00071408" w:rsidRPr="004D383B" w:rsidRDefault="004D383B">
            <w:pPr>
              <w:jc w:val="both"/>
              <w:rPr>
                <w:b/>
                <w:bCs/>
                <w:lang w:val="fr-FR"/>
              </w:rPr>
            </w:pPr>
            <w:r w:rsidRPr="004D383B">
              <w:rPr>
                <w:b/>
                <w:bCs/>
                <w:lang w:val="fr-FR"/>
              </w:rPr>
              <w:t>Intervenant</w:t>
            </w:r>
          </w:p>
        </w:tc>
        <w:tc>
          <w:tcPr>
            <w:tcW w:w="992" w:type="dxa"/>
          </w:tcPr>
          <w:p w14:paraId="562EC62C" w14:textId="069654D1" w:rsidR="00071408" w:rsidRPr="004D383B" w:rsidRDefault="004D383B">
            <w:pPr>
              <w:jc w:val="both"/>
              <w:rPr>
                <w:b/>
                <w:bCs/>
                <w:lang w:val="fr-FR"/>
              </w:rPr>
            </w:pPr>
            <w:r w:rsidRPr="004D383B">
              <w:rPr>
                <w:b/>
                <w:bCs/>
                <w:lang w:val="fr-FR"/>
              </w:rPr>
              <w:t>Heure</w:t>
            </w:r>
          </w:p>
        </w:tc>
        <w:tc>
          <w:tcPr>
            <w:tcW w:w="6189" w:type="dxa"/>
          </w:tcPr>
          <w:p w14:paraId="5B756704" w14:textId="2A747F95" w:rsidR="00071408" w:rsidRPr="004D383B" w:rsidRDefault="004D383B">
            <w:pPr>
              <w:jc w:val="both"/>
              <w:rPr>
                <w:b/>
                <w:bCs/>
                <w:lang w:val="fr-FR"/>
              </w:rPr>
            </w:pPr>
            <w:r w:rsidRPr="004D383B">
              <w:rPr>
                <w:b/>
                <w:bCs/>
                <w:lang w:val="fr-FR"/>
              </w:rPr>
              <w:t xml:space="preserve">Titre </w:t>
            </w:r>
            <w:r w:rsidR="0038299A">
              <w:rPr>
                <w:b/>
                <w:bCs/>
                <w:lang w:val="fr-FR"/>
              </w:rPr>
              <w:t xml:space="preserve">de l’intervention </w:t>
            </w:r>
          </w:p>
        </w:tc>
      </w:tr>
      <w:tr w:rsidR="0038299A" w14:paraId="570D70B7" w14:textId="77777777" w:rsidTr="004D383B">
        <w:tc>
          <w:tcPr>
            <w:tcW w:w="1838" w:type="dxa"/>
          </w:tcPr>
          <w:p w14:paraId="412FB86F" w14:textId="64D7AEC7" w:rsidR="0038299A" w:rsidRPr="00387E16" w:rsidRDefault="0038299A" w:rsidP="00071408">
            <w:pPr>
              <w:jc w:val="both"/>
              <w:rPr>
                <w:lang w:val="fr-FR"/>
              </w:rPr>
            </w:pPr>
            <w:r>
              <w:rPr>
                <w:lang w:val="fr-FR"/>
              </w:rPr>
              <w:t xml:space="preserve">Michel Durampart, Céline Pascual </w:t>
            </w:r>
            <w:proofErr w:type="spellStart"/>
            <w:r>
              <w:rPr>
                <w:lang w:val="fr-FR"/>
              </w:rPr>
              <w:t>Espuny</w:t>
            </w:r>
            <w:proofErr w:type="spellEnd"/>
            <w:r>
              <w:rPr>
                <w:lang w:val="fr-FR"/>
              </w:rPr>
              <w:t xml:space="preserve"> </w:t>
            </w:r>
          </w:p>
        </w:tc>
        <w:tc>
          <w:tcPr>
            <w:tcW w:w="992" w:type="dxa"/>
          </w:tcPr>
          <w:p w14:paraId="5EC34061" w14:textId="404BC19F" w:rsidR="0038299A" w:rsidRDefault="0038299A" w:rsidP="00071408">
            <w:pPr>
              <w:jc w:val="both"/>
              <w:rPr>
                <w:lang w:val="fr-FR"/>
              </w:rPr>
            </w:pPr>
            <w:r>
              <w:rPr>
                <w:lang w:val="fr-FR"/>
              </w:rPr>
              <w:t>9H15</w:t>
            </w:r>
          </w:p>
        </w:tc>
        <w:tc>
          <w:tcPr>
            <w:tcW w:w="6189" w:type="dxa"/>
          </w:tcPr>
          <w:p w14:paraId="0389C313" w14:textId="1D420644" w:rsidR="0038299A" w:rsidRPr="00387E16" w:rsidRDefault="0038299A" w:rsidP="00071408">
            <w:pPr>
              <w:jc w:val="both"/>
              <w:rPr>
                <w:lang w:val="fr-FR"/>
              </w:rPr>
            </w:pPr>
            <w:r>
              <w:rPr>
                <w:lang w:val="fr-FR"/>
              </w:rPr>
              <w:t xml:space="preserve">Accueil </w:t>
            </w:r>
          </w:p>
        </w:tc>
      </w:tr>
      <w:tr w:rsidR="00071408" w14:paraId="52BE8294" w14:textId="77777777" w:rsidTr="004D383B">
        <w:tc>
          <w:tcPr>
            <w:tcW w:w="1838" w:type="dxa"/>
          </w:tcPr>
          <w:p w14:paraId="5F1E95FB" w14:textId="44F4147B" w:rsidR="00071408" w:rsidRPr="00387E16" w:rsidRDefault="00071408" w:rsidP="00071408">
            <w:pPr>
              <w:jc w:val="both"/>
              <w:rPr>
                <w:lang w:val="fr-FR"/>
              </w:rPr>
            </w:pPr>
            <w:r w:rsidRPr="00387E16">
              <w:rPr>
                <w:lang w:val="fr-FR"/>
              </w:rPr>
              <w:t xml:space="preserve">Marc </w:t>
            </w:r>
            <w:proofErr w:type="spellStart"/>
            <w:r w:rsidRPr="00387E16">
              <w:rPr>
                <w:lang w:val="fr-FR"/>
              </w:rPr>
              <w:t>Tanti</w:t>
            </w:r>
            <w:proofErr w:type="spellEnd"/>
            <w:r w:rsidRPr="00387E16">
              <w:rPr>
                <w:lang w:val="fr-FR"/>
              </w:rPr>
              <w:t> </w:t>
            </w:r>
          </w:p>
        </w:tc>
        <w:tc>
          <w:tcPr>
            <w:tcW w:w="992" w:type="dxa"/>
          </w:tcPr>
          <w:p w14:paraId="336CAA88" w14:textId="2F470068" w:rsidR="00071408" w:rsidRDefault="00071408" w:rsidP="00071408">
            <w:pPr>
              <w:jc w:val="both"/>
              <w:rPr>
                <w:lang w:val="fr-FR"/>
              </w:rPr>
            </w:pPr>
            <w:r>
              <w:rPr>
                <w:lang w:val="fr-FR"/>
              </w:rPr>
              <w:t>9h30</w:t>
            </w:r>
          </w:p>
        </w:tc>
        <w:tc>
          <w:tcPr>
            <w:tcW w:w="6189" w:type="dxa"/>
          </w:tcPr>
          <w:p w14:paraId="6AD6EFE8" w14:textId="7E7E2570" w:rsidR="00071408" w:rsidRPr="00387E16" w:rsidRDefault="00071408" w:rsidP="00071408">
            <w:pPr>
              <w:jc w:val="both"/>
              <w:rPr>
                <w:lang w:val="fr-FR"/>
              </w:rPr>
            </w:pPr>
            <w:r w:rsidRPr="00387E16">
              <w:rPr>
                <w:lang w:val="fr-FR"/>
              </w:rPr>
              <w:t>Retour de la construction d’une recherche en SIC autour de la problématique de veille sanitaire</w:t>
            </w:r>
          </w:p>
        </w:tc>
      </w:tr>
      <w:tr w:rsidR="00071408" w14:paraId="1627B671" w14:textId="77777777" w:rsidTr="004D383B">
        <w:tc>
          <w:tcPr>
            <w:tcW w:w="1838" w:type="dxa"/>
          </w:tcPr>
          <w:p w14:paraId="326BD391" w14:textId="77777777" w:rsidR="00F450DB" w:rsidRDefault="00071408" w:rsidP="00071408">
            <w:pPr>
              <w:jc w:val="both"/>
              <w:rPr>
                <w:lang w:val="fr-FR"/>
              </w:rPr>
            </w:pPr>
            <w:r w:rsidRPr="00387E16">
              <w:rPr>
                <w:lang w:val="fr-FR"/>
              </w:rPr>
              <w:t xml:space="preserve">Franck </w:t>
            </w:r>
            <w:proofErr w:type="spellStart"/>
            <w:r w:rsidRPr="00387E16">
              <w:rPr>
                <w:lang w:val="fr-FR"/>
              </w:rPr>
              <w:t>Bullinge</w:t>
            </w:r>
            <w:proofErr w:type="spellEnd"/>
          </w:p>
          <w:p w14:paraId="4490460C" w14:textId="0B492B22" w:rsidR="00071408" w:rsidRDefault="00F450DB" w:rsidP="00071408">
            <w:pPr>
              <w:jc w:val="both"/>
              <w:rPr>
                <w:lang w:val="fr-FR"/>
              </w:rPr>
            </w:pPr>
            <w:r>
              <w:t>Sami Ben Amor</w:t>
            </w:r>
            <w:r w:rsidR="00071408" w:rsidRPr="00387E16">
              <w:rPr>
                <w:lang w:val="fr-FR"/>
              </w:rPr>
              <w:t> </w:t>
            </w:r>
          </w:p>
        </w:tc>
        <w:tc>
          <w:tcPr>
            <w:tcW w:w="992" w:type="dxa"/>
          </w:tcPr>
          <w:p w14:paraId="6DDC062F" w14:textId="7399D2AB" w:rsidR="00071408" w:rsidRDefault="00071408" w:rsidP="00071408">
            <w:pPr>
              <w:jc w:val="both"/>
              <w:rPr>
                <w:lang w:val="fr-FR"/>
              </w:rPr>
            </w:pPr>
            <w:r>
              <w:rPr>
                <w:lang w:val="fr-FR"/>
              </w:rPr>
              <w:t>10</w:t>
            </w:r>
            <w:r w:rsidR="004D383B">
              <w:rPr>
                <w:lang w:val="fr-FR"/>
              </w:rPr>
              <w:t>h</w:t>
            </w:r>
          </w:p>
        </w:tc>
        <w:tc>
          <w:tcPr>
            <w:tcW w:w="6189" w:type="dxa"/>
          </w:tcPr>
          <w:p w14:paraId="79F4BF94" w14:textId="47A34104" w:rsidR="00F450DB" w:rsidRPr="00F450DB" w:rsidRDefault="00F450DB" w:rsidP="00F450DB">
            <w:pPr>
              <w:jc w:val="both"/>
              <w:rPr>
                <w:lang w:val="fr-FR"/>
              </w:rPr>
            </w:pPr>
            <w:r w:rsidRPr="00F450DB">
              <w:rPr>
                <w:lang w:val="fr-FR"/>
              </w:rPr>
              <w:t xml:space="preserve">Présentation synthétique du Futur DU Management des données de renseignement </w:t>
            </w:r>
            <w:proofErr w:type="spellStart"/>
            <w:r w:rsidRPr="00F450DB">
              <w:rPr>
                <w:lang w:val="fr-FR"/>
              </w:rPr>
              <w:t>multisources</w:t>
            </w:r>
            <w:proofErr w:type="spellEnd"/>
            <w:r w:rsidRPr="00F450DB">
              <w:rPr>
                <w:lang w:val="fr-FR"/>
              </w:rPr>
              <w:t>. Ce projet concrétise les 15 dernières années de recherche en matière d'analyse de renseignement et ouvre la voie à un programme de recherche à long terme.</w:t>
            </w:r>
          </w:p>
          <w:p w14:paraId="3D66855B" w14:textId="77777777" w:rsidR="00F450DB" w:rsidRPr="00F450DB" w:rsidRDefault="00F450DB" w:rsidP="00F450DB">
            <w:pPr>
              <w:jc w:val="both"/>
              <w:rPr>
                <w:lang w:val="fr-FR"/>
              </w:rPr>
            </w:pPr>
            <w:r w:rsidRPr="00F450DB">
              <w:rPr>
                <w:lang w:val="fr-FR"/>
              </w:rPr>
              <w:t>1- Présentation de la recherche associée à ce projet sur la thématique de l'analyste augmenté. Il s'agit d'un programme à long terme portant sur l'amélioration des performances des analystes de renseignement, auquel devrait s'associer le LIS et INRIA.</w:t>
            </w:r>
          </w:p>
          <w:p w14:paraId="2116BFD0" w14:textId="77777777" w:rsidR="00F450DB" w:rsidRPr="00F450DB" w:rsidRDefault="00F450DB" w:rsidP="00F450DB">
            <w:pPr>
              <w:jc w:val="both"/>
              <w:rPr>
                <w:lang w:val="fr-FR"/>
              </w:rPr>
            </w:pPr>
            <w:r w:rsidRPr="00F450DB">
              <w:rPr>
                <w:lang w:val="fr-FR"/>
              </w:rPr>
              <w:t>2- Présentation d'un projet de thèse qui débutera en septembre, dans le cadre du projet de recherche associé au DU MDRM, portant sur un dispositif automatique de renseignement dans le cadre du contre-terrorisme maritime.</w:t>
            </w:r>
          </w:p>
          <w:p w14:paraId="2CE63262" w14:textId="00C95A8B" w:rsidR="00071408" w:rsidRDefault="00F450DB" w:rsidP="00F450DB">
            <w:pPr>
              <w:jc w:val="both"/>
              <w:rPr>
                <w:lang w:val="fr-FR"/>
              </w:rPr>
            </w:pPr>
            <w:r w:rsidRPr="00F450DB">
              <w:rPr>
                <w:lang w:val="fr-FR"/>
              </w:rPr>
              <w:t>3- Perspective et objectif : l'AO ANR Astrid</w:t>
            </w:r>
          </w:p>
        </w:tc>
      </w:tr>
      <w:tr w:rsidR="00071408" w14:paraId="77B1EBB5" w14:textId="77777777" w:rsidTr="004D383B">
        <w:tc>
          <w:tcPr>
            <w:tcW w:w="1838" w:type="dxa"/>
          </w:tcPr>
          <w:p w14:paraId="0C8EC28E" w14:textId="58E4753A" w:rsidR="00071408" w:rsidRDefault="00071408" w:rsidP="00071408">
            <w:pPr>
              <w:jc w:val="both"/>
              <w:rPr>
                <w:lang w:val="fr-FR"/>
              </w:rPr>
            </w:pPr>
            <w:proofErr w:type="spellStart"/>
            <w:r w:rsidRPr="00B11A98">
              <w:rPr>
                <w:lang w:val="fr-FR"/>
              </w:rPr>
              <w:t>Kouamvi</w:t>
            </w:r>
            <w:proofErr w:type="spellEnd"/>
            <w:r w:rsidRPr="00B11A98">
              <w:rPr>
                <w:lang w:val="fr-FR"/>
              </w:rPr>
              <w:t xml:space="preserve"> </w:t>
            </w:r>
            <w:proofErr w:type="spellStart"/>
            <w:r w:rsidRPr="00B11A98">
              <w:rPr>
                <w:lang w:val="fr-FR"/>
              </w:rPr>
              <w:t>Couao-Zotti</w:t>
            </w:r>
            <w:proofErr w:type="spellEnd"/>
          </w:p>
        </w:tc>
        <w:tc>
          <w:tcPr>
            <w:tcW w:w="992" w:type="dxa"/>
          </w:tcPr>
          <w:p w14:paraId="5BCA6939" w14:textId="668A7299" w:rsidR="00071408" w:rsidRDefault="00071408" w:rsidP="00071408">
            <w:pPr>
              <w:jc w:val="both"/>
              <w:rPr>
                <w:lang w:val="fr-FR"/>
              </w:rPr>
            </w:pPr>
            <w:r>
              <w:rPr>
                <w:lang w:val="fr-FR"/>
              </w:rPr>
              <w:t>10h30</w:t>
            </w:r>
          </w:p>
        </w:tc>
        <w:tc>
          <w:tcPr>
            <w:tcW w:w="6189" w:type="dxa"/>
          </w:tcPr>
          <w:p w14:paraId="7F338CEA" w14:textId="58B2B55B" w:rsidR="00071408" w:rsidRDefault="00071408" w:rsidP="00071408">
            <w:pPr>
              <w:jc w:val="both"/>
              <w:rPr>
                <w:lang w:val="fr-FR"/>
              </w:rPr>
            </w:pPr>
            <w:r w:rsidRPr="00966102">
              <w:rPr>
                <w:lang w:val="fr-FR"/>
              </w:rPr>
              <w:t>Cartographies des acteurs de la communication environnementale hypertexte</w:t>
            </w:r>
          </w:p>
        </w:tc>
      </w:tr>
      <w:tr w:rsidR="00071408" w14:paraId="2DCC785F" w14:textId="77777777" w:rsidTr="004D383B">
        <w:tc>
          <w:tcPr>
            <w:tcW w:w="1838" w:type="dxa"/>
          </w:tcPr>
          <w:p w14:paraId="7FAC84F2" w14:textId="22146F66" w:rsidR="00071408" w:rsidRDefault="00071408" w:rsidP="00071408">
            <w:pPr>
              <w:jc w:val="both"/>
              <w:rPr>
                <w:lang w:val="fr-FR"/>
              </w:rPr>
            </w:pPr>
            <w:r w:rsidRPr="00387E16">
              <w:rPr>
                <w:lang w:val="fr-FR"/>
              </w:rPr>
              <w:t>David Reymond </w:t>
            </w:r>
          </w:p>
        </w:tc>
        <w:tc>
          <w:tcPr>
            <w:tcW w:w="992" w:type="dxa"/>
          </w:tcPr>
          <w:p w14:paraId="18754468" w14:textId="6DED3309" w:rsidR="00071408" w:rsidRDefault="00071408" w:rsidP="00071408">
            <w:pPr>
              <w:jc w:val="both"/>
              <w:rPr>
                <w:lang w:val="fr-FR"/>
              </w:rPr>
            </w:pPr>
            <w:r>
              <w:rPr>
                <w:lang w:val="fr-FR"/>
              </w:rPr>
              <w:t>1</w:t>
            </w:r>
            <w:r w:rsidR="0001023F">
              <w:rPr>
                <w:lang w:val="fr-FR"/>
              </w:rPr>
              <w:t>0</w:t>
            </w:r>
            <w:r>
              <w:rPr>
                <w:lang w:val="fr-FR"/>
              </w:rPr>
              <w:t>h</w:t>
            </w:r>
            <w:r w:rsidR="0001023F">
              <w:rPr>
                <w:lang w:val="fr-FR"/>
              </w:rPr>
              <w:t>5</w:t>
            </w:r>
            <w:r>
              <w:rPr>
                <w:lang w:val="fr-FR"/>
              </w:rPr>
              <w:t>0</w:t>
            </w:r>
          </w:p>
        </w:tc>
        <w:tc>
          <w:tcPr>
            <w:tcW w:w="6189" w:type="dxa"/>
          </w:tcPr>
          <w:p w14:paraId="65CE136F" w14:textId="1D744D41" w:rsidR="00071408" w:rsidRDefault="00071408" w:rsidP="00071408">
            <w:pPr>
              <w:jc w:val="both"/>
              <w:rPr>
                <w:lang w:val="fr-FR"/>
              </w:rPr>
            </w:pPr>
            <w:proofErr w:type="spellStart"/>
            <w:r w:rsidRPr="00387E16">
              <w:rPr>
                <w:lang w:val="fr-FR"/>
              </w:rPr>
              <w:t>SoVisu</w:t>
            </w:r>
            <w:proofErr w:type="spellEnd"/>
            <w:r w:rsidRPr="00387E16">
              <w:rPr>
                <w:lang w:val="fr-FR"/>
              </w:rPr>
              <w:t>, terrain</w:t>
            </w:r>
            <w:r w:rsidR="00D15245">
              <w:rPr>
                <w:lang w:val="fr-FR"/>
              </w:rPr>
              <w:t>s</w:t>
            </w:r>
            <w:r w:rsidRPr="00387E16">
              <w:rPr>
                <w:lang w:val="fr-FR"/>
              </w:rPr>
              <w:t xml:space="preserve"> de recherche</w:t>
            </w:r>
            <w:r w:rsidR="00D15245">
              <w:rPr>
                <w:lang w:val="fr-FR"/>
              </w:rPr>
              <w:t>s</w:t>
            </w:r>
            <w:r w:rsidRPr="00387E16">
              <w:rPr>
                <w:lang w:val="fr-FR"/>
              </w:rPr>
              <w:t xml:space="preserve"> </w:t>
            </w:r>
            <w:r w:rsidR="00D15245">
              <w:rPr>
                <w:lang w:val="fr-FR"/>
              </w:rPr>
              <w:t xml:space="preserve">SIC </w:t>
            </w:r>
            <w:r w:rsidRPr="00387E16">
              <w:rPr>
                <w:lang w:val="fr-FR"/>
              </w:rPr>
              <w:t>en cours (cf. annexe)</w:t>
            </w:r>
          </w:p>
        </w:tc>
      </w:tr>
      <w:tr w:rsidR="00071408" w14:paraId="7E253F69" w14:textId="77777777" w:rsidTr="004D383B">
        <w:tc>
          <w:tcPr>
            <w:tcW w:w="1838" w:type="dxa"/>
          </w:tcPr>
          <w:p w14:paraId="18328F55" w14:textId="5A675003" w:rsidR="00071408" w:rsidRDefault="00071408" w:rsidP="00071408">
            <w:pPr>
              <w:jc w:val="both"/>
              <w:rPr>
                <w:lang w:val="fr-FR"/>
              </w:rPr>
            </w:pPr>
            <w:proofErr w:type="spellStart"/>
            <w:r w:rsidRPr="00B11A98">
              <w:rPr>
                <w:lang w:val="fr-FR"/>
              </w:rPr>
              <w:t>Tabariès</w:t>
            </w:r>
            <w:proofErr w:type="spellEnd"/>
            <w:r w:rsidRPr="00B11A98">
              <w:rPr>
                <w:lang w:val="fr-FR"/>
              </w:rPr>
              <w:t xml:space="preserve"> Alaric  </w:t>
            </w:r>
          </w:p>
        </w:tc>
        <w:tc>
          <w:tcPr>
            <w:tcW w:w="992" w:type="dxa"/>
          </w:tcPr>
          <w:p w14:paraId="66B179E8" w14:textId="07F9FB8A" w:rsidR="00071408" w:rsidRDefault="00071408" w:rsidP="00071408">
            <w:pPr>
              <w:jc w:val="both"/>
              <w:rPr>
                <w:lang w:val="fr-FR"/>
              </w:rPr>
            </w:pPr>
            <w:r>
              <w:rPr>
                <w:lang w:val="fr-FR"/>
              </w:rPr>
              <w:t>11h</w:t>
            </w:r>
            <w:r w:rsidR="0001023F">
              <w:rPr>
                <w:lang w:val="fr-FR"/>
              </w:rPr>
              <w:t>2</w:t>
            </w:r>
            <w:r>
              <w:rPr>
                <w:lang w:val="fr-FR"/>
              </w:rPr>
              <w:t>0</w:t>
            </w:r>
          </w:p>
        </w:tc>
        <w:tc>
          <w:tcPr>
            <w:tcW w:w="6189" w:type="dxa"/>
          </w:tcPr>
          <w:p w14:paraId="419EA4CE" w14:textId="145E147F" w:rsidR="00071408" w:rsidRDefault="00071408" w:rsidP="00071408">
            <w:pPr>
              <w:jc w:val="both"/>
              <w:rPr>
                <w:lang w:val="fr-FR"/>
              </w:rPr>
            </w:pPr>
            <w:r w:rsidRPr="00387E16">
              <w:rPr>
                <w:lang w:val="fr-FR"/>
              </w:rPr>
              <w:t xml:space="preserve">Une métrique pour évaluer les </w:t>
            </w:r>
            <w:proofErr w:type="spellStart"/>
            <w:r w:rsidRPr="00387E16">
              <w:rPr>
                <w:lang w:val="fr-FR"/>
              </w:rPr>
              <w:t>méta-données</w:t>
            </w:r>
            <w:proofErr w:type="spellEnd"/>
            <w:r w:rsidRPr="00387E16">
              <w:rPr>
                <w:lang w:val="fr-FR"/>
              </w:rPr>
              <w:t xml:space="preserve"> de publications scientifiques : application à la plateforme d'archivage HAL</w:t>
            </w:r>
          </w:p>
        </w:tc>
      </w:tr>
      <w:tr w:rsidR="00071408" w14:paraId="1BD5E463" w14:textId="77777777" w:rsidTr="004D383B">
        <w:tc>
          <w:tcPr>
            <w:tcW w:w="1838" w:type="dxa"/>
          </w:tcPr>
          <w:p w14:paraId="75FE9168" w14:textId="48756AF1" w:rsidR="00071408" w:rsidRDefault="00071408" w:rsidP="00071408">
            <w:pPr>
              <w:jc w:val="both"/>
              <w:rPr>
                <w:lang w:val="fr-FR"/>
              </w:rPr>
            </w:pPr>
            <w:r w:rsidRPr="00B11A98">
              <w:rPr>
                <w:lang w:val="fr-FR"/>
              </w:rPr>
              <w:t xml:space="preserve">Hervé </w:t>
            </w:r>
            <w:proofErr w:type="spellStart"/>
            <w:r w:rsidRPr="00B11A98">
              <w:rPr>
                <w:lang w:val="fr-FR"/>
              </w:rPr>
              <w:t>Rosta</w:t>
            </w:r>
            <w:r>
              <w:rPr>
                <w:lang w:val="fr-FR"/>
              </w:rPr>
              <w:t>ing</w:t>
            </w:r>
            <w:proofErr w:type="spellEnd"/>
            <w:r>
              <w:rPr>
                <w:lang w:val="fr-FR"/>
              </w:rPr>
              <w:t> </w:t>
            </w:r>
          </w:p>
        </w:tc>
        <w:tc>
          <w:tcPr>
            <w:tcW w:w="992" w:type="dxa"/>
          </w:tcPr>
          <w:p w14:paraId="421D4322" w14:textId="5CC9F936" w:rsidR="00071408" w:rsidRDefault="00071408" w:rsidP="00071408">
            <w:pPr>
              <w:jc w:val="both"/>
              <w:rPr>
                <w:lang w:val="fr-FR"/>
              </w:rPr>
            </w:pPr>
            <w:r>
              <w:rPr>
                <w:lang w:val="fr-FR"/>
              </w:rPr>
              <w:t>1</w:t>
            </w:r>
            <w:r w:rsidR="0001023F">
              <w:rPr>
                <w:lang w:val="fr-FR"/>
              </w:rPr>
              <w:t>1</w:t>
            </w:r>
            <w:r>
              <w:rPr>
                <w:lang w:val="fr-FR"/>
              </w:rPr>
              <w:t>h</w:t>
            </w:r>
            <w:r w:rsidR="0001023F">
              <w:rPr>
                <w:lang w:val="fr-FR"/>
              </w:rPr>
              <w:t>4</w:t>
            </w:r>
            <w:r>
              <w:rPr>
                <w:lang w:val="fr-FR"/>
              </w:rPr>
              <w:t>0</w:t>
            </w:r>
          </w:p>
        </w:tc>
        <w:tc>
          <w:tcPr>
            <w:tcW w:w="6189" w:type="dxa"/>
          </w:tcPr>
          <w:p w14:paraId="77A54F08" w14:textId="124614D4" w:rsidR="00071408" w:rsidRDefault="00071408" w:rsidP="00071408">
            <w:pPr>
              <w:jc w:val="both"/>
              <w:rPr>
                <w:lang w:val="fr-FR"/>
              </w:rPr>
            </w:pPr>
            <w:r w:rsidRPr="001E5709">
              <w:rPr>
                <w:lang w:val="fr-FR"/>
              </w:rPr>
              <w:t>La bibliométrie au service des SIC</w:t>
            </w:r>
          </w:p>
        </w:tc>
      </w:tr>
      <w:tr w:rsidR="004D383B" w14:paraId="61D516BE" w14:textId="77777777" w:rsidTr="004D383B">
        <w:tc>
          <w:tcPr>
            <w:tcW w:w="1838" w:type="dxa"/>
          </w:tcPr>
          <w:p w14:paraId="0EE1AEF4" w14:textId="77777777" w:rsidR="004D383B" w:rsidRPr="00B11A98" w:rsidRDefault="004D383B" w:rsidP="00071408">
            <w:pPr>
              <w:jc w:val="both"/>
              <w:rPr>
                <w:lang w:val="fr-FR"/>
              </w:rPr>
            </w:pPr>
          </w:p>
        </w:tc>
        <w:tc>
          <w:tcPr>
            <w:tcW w:w="992" w:type="dxa"/>
          </w:tcPr>
          <w:p w14:paraId="03017E04" w14:textId="4D1A1A77" w:rsidR="004D383B" w:rsidRDefault="004D383B" w:rsidP="00071408">
            <w:pPr>
              <w:jc w:val="both"/>
              <w:rPr>
                <w:lang w:val="fr-FR"/>
              </w:rPr>
            </w:pPr>
            <w:r>
              <w:rPr>
                <w:lang w:val="fr-FR"/>
              </w:rPr>
              <w:t>12h</w:t>
            </w:r>
            <w:r w:rsidR="0001023F">
              <w:rPr>
                <w:lang w:val="fr-FR"/>
              </w:rPr>
              <w:t>1</w:t>
            </w:r>
            <w:r>
              <w:rPr>
                <w:lang w:val="fr-FR"/>
              </w:rPr>
              <w:t>0</w:t>
            </w:r>
          </w:p>
        </w:tc>
        <w:tc>
          <w:tcPr>
            <w:tcW w:w="6189" w:type="dxa"/>
          </w:tcPr>
          <w:p w14:paraId="6B4C1BD8" w14:textId="71F3A779" w:rsidR="004D383B" w:rsidRPr="001E5709" w:rsidRDefault="004D383B" w:rsidP="00071408">
            <w:pPr>
              <w:jc w:val="both"/>
              <w:rPr>
                <w:lang w:val="fr-FR"/>
              </w:rPr>
            </w:pPr>
            <w:r>
              <w:rPr>
                <w:lang w:val="fr-FR"/>
              </w:rPr>
              <w:t>Débat</w:t>
            </w:r>
          </w:p>
        </w:tc>
      </w:tr>
    </w:tbl>
    <w:p w14:paraId="40AE7CF1" w14:textId="77777777" w:rsidR="00EA4474" w:rsidRDefault="00EA4474">
      <w:pPr>
        <w:jc w:val="both"/>
        <w:rPr>
          <w:lang w:val="fr-FR"/>
        </w:rPr>
      </w:pPr>
    </w:p>
    <w:p w14:paraId="34C87CD9" w14:textId="1FC7787C" w:rsidR="00071408" w:rsidRPr="00B11A98" w:rsidRDefault="00EA4474">
      <w:pPr>
        <w:jc w:val="both"/>
        <w:rPr>
          <w:lang w:val="fr-FR"/>
        </w:rPr>
      </w:pPr>
      <w:r>
        <w:rPr>
          <w:lang w:val="fr-FR"/>
        </w:rPr>
        <w:t xml:space="preserve">Notre invité/conférencier </w:t>
      </w:r>
      <w:r w:rsidR="0038299A">
        <w:rPr>
          <w:lang w:val="fr-FR"/>
        </w:rPr>
        <w:t xml:space="preserve">Christian Le </w:t>
      </w:r>
      <w:proofErr w:type="spellStart"/>
      <w:r w:rsidR="0038299A">
        <w:rPr>
          <w:lang w:val="fr-FR"/>
        </w:rPr>
        <w:t>Moënne</w:t>
      </w:r>
      <w:proofErr w:type="spellEnd"/>
      <w:r w:rsidR="0038299A">
        <w:rPr>
          <w:lang w:val="fr-FR"/>
        </w:rPr>
        <w:t xml:space="preserve"> fera quelques commentaires ou réagira sur les interventions présentées </w:t>
      </w:r>
    </w:p>
    <w:p w14:paraId="60F80F88" w14:textId="77777777" w:rsidR="00EA4474" w:rsidRDefault="00EA4474" w:rsidP="0038299A">
      <w:pPr>
        <w:rPr>
          <w:lang w:val="fr-FR"/>
        </w:rPr>
      </w:pPr>
    </w:p>
    <w:p w14:paraId="1109310E" w14:textId="00FC0FD5" w:rsidR="00EA4474" w:rsidRDefault="00EA4474" w:rsidP="0038299A">
      <w:pPr>
        <w:rPr>
          <w:lang w:val="fr-FR"/>
        </w:rPr>
      </w:pPr>
      <w:r>
        <w:rPr>
          <w:lang w:val="fr-FR"/>
        </w:rPr>
        <w:t xml:space="preserve">13h00 : Pause </w:t>
      </w:r>
    </w:p>
    <w:p w14:paraId="58FB68D2" w14:textId="77777777" w:rsidR="00EA4474" w:rsidRDefault="00EA4474" w:rsidP="0038299A">
      <w:pPr>
        <w:rPr>
          <w:lang w:val="fr-FR"/>
        </w:rPr>
      </w:pPr>
    </w:p>
    <w:p w14:paraId="46820842" w14:textId="28AB918C" w:rsidR="0038299A" w:rsidRPr="0001023F" w:rsidRDefault="0038299A" w:rsidP="0038299A">
      <w:pPr>
        <w:rPr>
          <w:rFonts w:ascii="Helvetica" w:eastAsia="Times New Roman" w:hAnsi="Helvetica" w:cs="Times New Roman"/>
          <w:b/>
          <w:bCs/>
          <w:color w:val="000000"/>
          <w:sz w:val="18"/>
          <w:szCs w:val="18"/>
          <w:lang w:val="fr-FR" w:eastAsia="zh-CN"/>
        </w:rPr>
      </w:pPr>
      <w:r>
        <w:rPr>
          <w:lang w:val="fr-FR"/>
        </w:rPr>
        <w:t xml:space="preserve">14h-15H : Christian Le </w:t>
      </w:r>
      <w:proofErr w:type="spellStart"/>
      <w:r>
        <w:rPr>
          <w:lang w:val="fr-FR"/>
        </w:rPr>
        <w:t>Moënne</w:t>
      </w:r>
      <w:proofErr w:type="spellEnd"/>
      <w:r>
        <w:rPr>
          <w:lang w:val="fr-FR"/>
        </w:rPr>
        <w:t xml:space="preserve">, PR </w:t>
      </w:r>
      <w:r w:rsidR="0001023F">
        <w:rPr>
          <w:lang w:val="fr-FR"/>
        </w:rPr>
        <w:t>émérite U</w:t>
      </w:r>
      <w:r>
        <w:rPr>
          <w:lang w:val="fr-FR"/>
        </w:rPr>
        <w:t xml:space="preserve">niversité Rennes 2, EA PREFICS : </w:t>
      </w:r>
      <w:proofErr w:type="gramStart"/>
      <w:r w:rsidRPr="0001023F">
        <w:rPr>
          <w:rFonts w:ascii="Helvetica" w:eastAsia="Times New Roman" w:hAnsi="Helvetica" w:cs="Times New Roman"/>
          <w:b/>
          <w:bCs/>
          <w:color w:val="000000"/>
          <w:sz w:val="18"/>
          <w:szCs w:val="18"/>
          <w:lang w:val="fr-FR" w:eastAsia="zh-CN"/>
        </w:rPr>
        <w:t>«  Quelle</w:t>
      </w:r>
      <w:proofErr w:type="gramEnd"/>
      <w:r w:rsidRPr="0001023F">
        <w:rPr>
          <w:rFonts w:ascii="Helvetica" w:eastAsia="Times New Roman" w:hAnsi="Helvetica" w:cs="Times New Roman"/>
          <w:b/>
          <w:bCs/>
          <w:color w:val="000000"/>
          <w:sz w:val="18"/>
          <w:szCs w:val="18"/>
          <w:lang w:val="fr-FR" w:eastAsia="zh-CN"/>
        </w:rPr>
        <w:t xml:space="preserve"> théorie des objets et machines pour penser la mutation numérique ? »</w:t>
      </w:r>
    </w:p>
    <w:p w14:paraId="6F379273" w14:textId="77777777" w:rsidR="00EA4474" w:rsidRDefault="00EA4474" w:rsidP="0038299A">
      <w:pPr>
        <w:rPr>
          <w:rFonts w:ascii="Helvetica" w:eastAsia="Times New Roman" w:hAnsi="Helvetica" w:cs="Times New Roman"/>
          <w:color w:val="000000"/>
          <w:sz w:val="18"/>
          <w:szCs w:val="18"/>
          <w:lang w:val="fr-FR" w:eastAsia="zh-CN"/>
        </w:rPr>
      </w:pPr>
    </w:p>
    <w:p w14:paraId="6940F7FD" w14:textId="00EBC029" w:rsidR="0038299A" w:rsidRDefault="0038299A" w:rsidP="0038299A">
      <w:pPr>
        <w:rPr>
          <w:rFonts w:ascii="Helvetica" w:eastAsia="Times New Roman" w:hAnsi="Helvetica" w:cs="Times New Roman"/>
          <w:color w:val="000000"/>
          <w:sz w:val="18"/>
          <w:szCs w:val="18"/>
          <w:lang w:val="fr-FR" w:eastAsia="zh-CN"/>
        </w:rPr>
      </w:pPr>
      <w:r w:rsidRPr="00EA4474">
        <w:rPr>
          <w:rFonts w:asciiTheme="minorBidi" w:eastAsia="Times New Roman" w:hAnsiTheme="minorBidi" w:cstheme="minorBidi"/>
          <w:color w:val="000000"/>
          <w:lang w:val="fr-FR" w:eastAsia="zh-CN"/>
        </w:rPr>
        <w:t>15h :</w:t>
      </w:r>
      <w:r>
        <w:rPr>
          <w:rFonts w:ascii="Helvetica" w:eastAsia="Times New Roman" w:hAnsi="Helvetica" w:cs="Times New Roman"/>
          <w:color w:val="000000"/>
          <w:sz w:val="18"/>
          <w:szCs w:val="18"/>
          <w:lang w:val="fr-FR" w:eastAsia="zh-CN"/>
        </w:rPr>
        <w:t xml:space="preserve"> échanges et débat </w:t>
      </w:r>
    </w:p>
    <w:p w14:paraId="7DDCB868" w14:textId="17E0854B" w:rsidR="0038299A" w:rsidRPr="0038299A" w:rsidRDefault="0038299A" w:rsidP="0038299A">
      <w:pPr>
        <w:rPr>
          <w:rFonts w:ascii="Times New Roman" w:eastAsia="Times New Roman" w:hAnsi="Times New Roman" w:cs="Times New Roman"/>
          <w:sz w:val="24"/>
          <w:szCs w:val="24"/>
          <w:lang w:val="fr-FR" w:eastAsia="zh-CN"/>
        </w:rPr>
      </w:pPr>
      <w:r w:rsidRPr="00EA4474">
        <w:rPr>
          <w:rFonts w:asciiTheme="minorBidi" w:eastAsia="Times New Roman" w:hAnsiTheme="minorBidi" w:cstheme="minorBidi"/>
          <w:color w:val="000000"/>
          <w:lang w:val="fr-FR" w:eastAsia="zh-CN"/>
        </w:rPr>
        <w:t>15H45 :</w:t>
      </w:r>
      <w:r>
        <w:rPr>
          <w:rFonts w:ascii="Helvetica" w:eastAsia="Times New Roman" w:hAnsi="Helvetica" w:cs="Times New Roman"/>
          <w:color w:val="000000"/>
          <w:sz w:val="18"/>
          <w:szCs w:val="18"/>
          <w:lang w:val="fr-FR" w:eastAsia="zh-CN"/>
        </w:rPr>
        <w:t xml:space="preserve"> Rapide mise au point sur le calendrier d’actions </w:t>
      </w:r>
      <w:r w:rsidR="00EA4474">
        <w:rPr>
          <w:rFonts w:ascii="Helvetica" w:eastAsia="Times New Roman" w:hAnsi="Helvetica" w:cs="Times New Roman"/>
          <w:color w:val="000000"/>
          <w:sz w:val="18"/>
          <w:szCs w:val="18"/>
          <w:lang w:val="fr-FR" w:eastAsia="zh-CN"/>
        </w:rPr>
        <w:t xml:space="preserve">IMSIC : </w:t>
      </w:r>
      <w:r>
        <w:rPr>
          <w:rFonts w:ascii="Helvetica" w:eastAsia="Times New Roman" w:hAnsi="Helvetica" w:cs="Times New Roman"/>
          <w:color w:val="000000"/>
          <w:sz w:val="18"/>
          <w:szCs w:val="18"/>
          <w:lang w:val="fr-FR" w:eastAsia="zh-CN"/>
        </w:rPr>
        <w:t xml:space="preserve">2021-22 </w:t>
      </w:r>
    </w:p>
    <w:p w14:paraId="65DBEDCB" w14:textId="05839AA8" w:rsidR="00DE5F83" w:rsidRDefault="00DE5F83">
      <w:pPr>
        <w:jc w:val="both"/>
        <w:rPr>
          <w:lang w:val="fr-FR"/>
        </w:rPr>
      </w:pPr>
    </w:p>
    <w:p w14:paraId="00C3F3DF" w14:textId="77777777" w:rsidR="005E06E6" w:rsidRPr="005E06E6" w:rsidRDefault="005E06E6">
      <w:pPr>
        <w:jc w:val="both"/>
        <w:rPr>
          <w:lang w:val="fr-FR"/>
        </w:rPr>
      </w:pPr>
    </w:p>
    <w:p w14:paraId="2F261BAC" w14:textId="64006D00" w:rsidR="005E06E6" w:rsidRPr="005E06E6" w:rsidRDefault="005E06E6">
      <w:pPr>
        <w:jc w:val="both"/>
        <w:rPr>
          <w:lang w:val="fr-FR"/>
        </w:rPr>
      </w:pPr>
    </w:p>
    <w:sectPr w:rsidR="005E06E6" w:rsidRPr="005E06E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3757F" w14:textId="77777777" w:rsidR="00814E77" w:rsidRDefault="00814E77" w:rsidP="009801C3">
      <w:pPr>
        <w:spacing w:line="240" w:lineRule="auto"/>
      </w:pPr>
      <w:r>
        <w:separator/>
      </w:r>
    </w:p>
  </w:endnote>
  <w:endnote w:type="continuationSeparator" w:id="0">
    <w:p w14:paraId="33E739D5" w14:textId="77777777" w:rsidR="00814E77" w:rsidRDefault="00814E77" w:rsidP="00980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1E0BA" w14:textId="77777777" w:rsidR="00814E77" w:rsidRDefault="00814E77" w:rsidP="009801C3">
      <w:pPr>
        <w:spacing w:line="240" w:lineRule="auto"/>
      </w:pPr>
      <w:r>
        <w:separator/>
      </w:r>
    </w:p>
  </w:footnote>
  <w:footnote w:type="continuationSeparator" w:id="0">
    <w:p w14:paraId="7F4B48C4" w14:textId="77777777" w:rsidR="00814E77" w:rsidRDefault="00814E77" w:rsidP="009801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2195"/>
    <w:multiLevelType w:val="hybridMultilevel"/>
    <w:tmpl w:val="04D230B2"/>
    <w:lvl w:ilvl="0" w:tplc="046266D4">
      <w:start w:val="1"/>
      <w:numFmt w:val="bullet"/>
      <w:lvlText w:val=""/>
      <w:lvlJc w:val="left"/>
      <w:pPr>
        <w:tabs>
          <w:tab w:val="num" w:pos="720"/>
        </w:tabs>
        <w:ind w:left="720" w:hanging="360"/>
      </w:pPr>
      <w:rPr>
        <w:rFonts w:ascii="Symbol" w:hAnsi="Symbol" w:hint="default"/>
      </w:rPr>
    </w:lvl>
    <w:lvl w:ilvl="1" w:tplc="89644C3E" w:tentative="1">
      <w:start w:val="1"/>
      <w:numFmt w:val="bullet"/>
      <w:lvlText w:val=""/>
      <w:lvlJc w:val="left"/>
      <w:pPr>
        <w:tabs>
          <w:tab w:val="num" w:pos="1440"/>
        </w:tabs>
        <w:ind w:left="1440" w:hanging="360"/>
      </w:pPr>
      <w:rPr>
        <w:rFonts w:ascii="Wingdings" w:hAnsi="Wingdings" w:hint="default"/>
      </w:rPr>
    </w:lvl>
    <w:lvl w:ilvl="2" w:tplc="6BBEC220" w:tentative="1">
      <w:start w:val="1"/>
      <w:numFmt w:val="bullet"/>
      <w:lvlText w:val=""/>
      <w:lvlJc w:val="left"/>
      <w:pPr>
        <w:tabs>
          <w:tab w:val="num" w:pos="2160"/>
        </w:tabs>
        <w:ind w:left="2160" w:hanging="360"/>
      </w:pPr>
      <w:rPr>
        <w:rFonts w:ascii="Wingdings" w:hAnsi="Wingdings" w:hint="default"/>
      </w:rPr>
    </w:lvl>
    <w:lvl w:ilvl="3" w:tplc="D4FA1ACE" w:tentative="1">
      <w:start w:val="1"/>
      <w:numFmt w:val="bullet"/>
      <w:lvlText w:val=""/>
      <w:lvlJc w:val="left"/>
      <w:pPr>
        <w:tabs>
          <w:tab w:val="num" w:pos="2880"/>
        </w:tabs>
        <w:ind w:left="2880" w:hanging="360"/>
      </w:pPr>
      <w:rPr>
        <w:rFonts w:ascii="Wingdings" w:hAnsi="Wingdings" w:hint="default"/>
      </w:rPr>
    </w:lvl>
    <w:lvl w:ilvl="4" w:tplc="DA348578" w:tentative="1">
      <w:start w:val="1"/>
      <w:numFmt w:val="bullet"/>
      <w:lvlText w:val=""/>
      <w:lvlJc w:val="left"/>
      <w:pPr>
        <w:tabs>
          <w:tab w:val="num" w:pos="3600"/>
        </w:tabs>
        <w:ind w:left="3600" w:hanging="360"/>
      </w:pPr>
      <w:rPr>
        <w:rFonts w:ascii="Wingdings" w:hAnsi="Wingdings" w:hint="default"/>
      </w:rPr>
    </w:lvl>
    <w:lvl w:ilvl="5" w:tplc="F3CC6E0C" w:tentative="1">
      <w:start w:val="1"/>
      <w:numFmt w:val="bullet"/>
      <w:lvlText w:val=""/>
      <w:lvlJc w:val="left"/>
      <w:pPr>
        <w:tabs>
          <w:tab w:val="num" w:pos="4320"/>
        </w:tabs>
        <w:ind w:left="4320" w:hanging="360"/>
      </w:pPr>
      <w:rPr>
        <w:rFonts w:ascii="Wingdings" w:hAnsi="Wingdings" w:hint="default"/>
      </w:rPr>
    </w:lvl>
    <w:lvl w:ilvl="6" w:tplc="57FCF330" w:tentative="1">
      <w:start w:val="1"/>
      <w:numFmt w:val="bullet"/>
      <w:lvlText w:val=""/>
      <w:lvlJc w:val="left"/>
      <w:pPr>
        <w:tabs>
          <w:tab w:val="num" w:pos="5040"/>
        </w:tabs>
        <w:ind w:left="5040" w:hanging="360"/>
      </w:pPr>
      <w:rPr>
        <w:rFonts w:ascii="Wingdings" w:hAnsi="Wingdings" w:hint="default"/>
      </w:rPr>
    </w:lvl>
    <w:lvl w:ilvl="7" w:tplc="0DC6B40C" w:tentative="1">
      <w:start w:val="1"/>
      <w:numFmt w:val="bullet"/>
      <w:lvlText w:val=""/>
      <w:lvlJc w:val="left"/>
      <w:pPr>
        <w:tabs>
          <w:tab w:val="num" w:pos="5760"/>
        </w:tabs>
        <w:ind w:left="5760" w:hanging="360"/>
      </w:pPr>
      <w:rPr>
        <w:rFonts w:ascii="Wingdings" w:hAnsi="Wingdings" w:hint="default"/>
      </w:rPr>
    </w:lvl>
    <w:lvl w:ilvl="8" w:tplc="D332BD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EB3552"/>
    <w:multiLevelType w:val="hybridMultilevel"/>
    <w:tmpl w:val="AA202EB6"/>
    <w:lvl w:ilvl="0" w:tplc="4738BAA2">
      <w:start w:val="1"/>
      <w:numFmt w:val="bullet"/>
      <w:lvlText w:val=""/>
      <w:lvlJc w:val="left"/>
      <w:pPr>
        <w:tabs>
          <w:tab w:val="num" w:pos="720"/>
        </w:tabs>
        <w:ind w:left="720" w:hanging="360"/>
      </w:pPr>
      <w:rPr>
        <w:rFonts w:ascii="Wingdings" w:hAnsi="Wingdings" w:hint="default"/>
      </w:rPr>
    </w:lvl>
    <w:lvl w:ilvl="1" w:tplc="89644C3E" w:tentative="1">
      <w:start w:val="1"/>
      <w:numFmt w:val="bullet"/>
      <w:lvlText w:val=""/>
      <w:lvlJc w:val="left"/>
      <w:pPr>
        <w:tabs>
          <w:tab w:val="num" w:pos="1440"/>
        </w:tabs>
        <w:ind w:left="1440" w:hanging="360"/>
      </w:pPr>
      <w:rPr>
        <w:rFonts w:ascii="Wingdings" w:hAnsi="Wingdings" w:hint="default"/>
      </w:rPr>
    </w:lvl>
    <w:lvl w:ilvl="2" w:tplc="6BBEC220" w:tentative="1">
      <w:start w:val="1"/>
      <w:numFmt w:val="bullet"/>
      <w:lvlText w:val=""/>
      <w:lvlJc w:val="left"/>
      <w:pPr>
        <w:tabs>
          <w:tab w:val="num" w:pos="2160"/>
        </w:tabs>
        <w:ind w:left="2160" w:hanging="360"/>
      </w:pPr>
      <w:rPr>
        <w:rFonts w:ascii="Wingdings" w:hAnsi="Wingdings" w:hint="default"/>
      </w:rPr>
    </w:lvl>
    <w:lvl w:ilvl="3" w:tplc="D4FA1ACE" w:tentative="1">
      <w:start w:val="1"/>
      <w:numFmt w:val="bullet"/>
      <w:lvlText w:val=""/>
      <w:lvlJc w:val="left"/>
      <w:pPr>
        <w:tabs>
          <w:tab w:val="num" w:pos="2880"/>
        </w:tabs>
        <w:ind w:left="2880" w:hanging="360"/>
      </w:pPr>
      <w:rPr>
        <w:rFonts w:ascii="Wingdings" w:hAnsi="Wingdings" w:hint="default"/>
      </w:rPr>
    </w:lvl>
    <w:lvl w:ilvl="4" w:tplc="DA348578" w:tentative="1">
      <w:start w:val="1"/>
      <w:numFmt w:val="bullet"/>
      <w:lvlText w:val=""/>
      <w:lvlJc w:val="left"/>
      <w:pPr>
        <w:tabs>
          <w:tab w:val="num" w:pos="3600"/>
        </w:tabs>
        <w:ind w:left="3600" w:hanging="360"/>
      </w:pPr>
      <w:rPr>
        <w:rFonts w:ascii="Wingdings" w:hAnsi="Wingdings" w:hint="default"/>
      </w:rPr>
    </w:lvl>
    <w:lvl w:ilvl="5" w:tplc="F3CC6E0C" w:tentative="1">
      <w:start w:val="1"/>
      <w:numFmt w:val="bullet"/>
      <w:lvlText w:val=""/>
      <w:lvlJc w:val="left"/>
      <w:pPr>
        <w:tabs>
          <w:tab w:val="num" w:pos="4320"/>
        </w:tabs>
        <w:ind w:left="4320" w:hanging="360"/>
      </w:pPr>
      <w:rPr>
        <w:rFonts w:ascii="Wingdings" w:hAnsi="Wingdings" w:hint="default"/>
      </w:rPr>
    </w:lvl>
    <w:lvl w:ilvl="6" w:tplc="57FCF330" w:tentative="1">
      <w:start w:val="1"/>
      <w:numFmt w:val="bullet"/>
      <w:lvlText w:val=""/>
      <w:lvlJc w:val="left"/>
      <w:pPr>
        <w:tabs>
          <w:tab w:val="num" w:pos="5040"/>
        </w:tabs>
        <w:ind w:left="5040" w:hanging="360"/>
      </w:pPr>
      <w:rPr>
        <w:rFonts w:ascii="Wingdings" w:hAnsi="Wingdings" w:hint="default"/>
      </w:rPr>
    </w:lvl>
    <w:lvl w:ilvl="7" w:tplc="0DC6B40C" w:tentative="1">
      <w:start w:val="1"/>
      <w:numFmt w:val="bullet"/>
      <w:lvlText w:val=""/>
      <w:lvlJc w:val="left"/>
      <w:pPr>
        <w:tabs>
          <w:tab w:val="num" w:pos="5760"/>
        </w:tabs>
        <w:ind w:left="5760" w:hanging="360"/>
      </w:pPr>
      <w:rPr>
        <w:rFonts w:ascii="Wingdings" w:hAnsi="Wingdings" w:hint="default"/>
      </w:rPr>
    </w:lvl>
    <w:lvl w:ilvl="8" w:tplc="D332BD7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A3"/>
    <w:rsid w:val="0001023F"/>
    <w:rsid w:val="00016C0D"/>
    <w:rsid w:val="00071408"/>
    <w:rsid w:val="001E5709"/>
    <w:rsid w:val="00275016"/>
    <w:rsid w:val="002774A3"/>
    <w:rsid w:val="0038299A"/>
    <w:rsid w:val="00387E16"/>
    <w:rsid w:val="003D132D"/>
    <w:rsid w:val="004D383B"/>
    <w:rsid w:val="005E06E6"/>
    <w:rsid w:val="00616E14"/>
    <w:rsid w:val="007E3F07"/>
    <w:rsid w:val="008071B9"/>
    <w:rsid w:val="00814E77"/>
    <w:rsid w:val="0087423F"/>
    <w:rsid w:val="008D525F"/>
    <w:rsid w:val="008E0C86"/>
    <w:rsid w:val="00966102"/>
    <w:rsid w:val="009801C3"/>
    <w:rsid w:val="00A8316F"/>
    <w:rsid w:val="00B11A98"/>
    <w:rsid w:val="00B97E2C"/>
    <w:rsid w:val="00C20E99"/>
    <w:rsid w:val="00CC13B7"/>
    <w:rsid w:val="00D15245"/>
    <w:rsid w:val="00D152A6"/>
    <w:rsid w:val="00DE5F83"/>
    <w:rsid w:val="00DF0762"/>
    <w:rsid w:val="00E915CF"/>
    <w:rsid w:val="00EA4474"/>
    <w:rsid w:val="00F155C6"/>
    <w:rsid w:val="00F450DB"/>
    <w:rsid w:val="00FC798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72DC"/>
  <w15:docId w15:val="{D7DF19C5-2F3A-4767-9DCC-095AA77D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styleId="Grilledutableau">
    <w:name w:val="Table Grid"/>
    <w:basedOn w:val="TableauNormal"/>
    <w:uiPriority w:val="39"/>
    <w:rsid w:val="00DE5F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383B"/>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semiHidden/>
    <w:unhideWhenUsed/>
    <w:rsid w:val="004D383B"/>
    <w:rPr>
      <w:color w:val="0000FF"/>
      <w:u w:val="single"/>
    </w:rPr>
  </w:style>
  <w:style w:type="paragraph" w:styleId="Paragraphedeliste">
    <w:name w:val="List Paragraph"/>
    <w:basedOn w:val="Normal"/>
    <w:uiPriority w:val="34"/>
    <w:qFormat/>
    <w:rsid w:val="009801C3"/>
    <w:pPr>
      <w:spacing w:line="240" w:lineRule="auto"/>
      <w:ind w:left="720"/>
      <w:contextualSpacing/>
    </w:pPr>
    <w:rPr>
      <w:rFonts w:ascii="Times New Roman" w:eastAsia="Times New Roman" w:hAnsi="Times New Roman" w:cs="Times New Roman"/>
      <w:sz w:val="24"/>
      <w:szCs w:val="24"/>
      <w:lang w:val="fr-FR"/>
    </w:rPr>
  </w:style>
  <w:style w:type="paragraph" w:styleId="Notedebasdepage">
    <w:name w:val="footnote text"/>
    <w:basedOn w:val="Normal"/>
    <w:link w:val="NotedebasdepageCar"/>
    <w:uiPriority w:val="99"/>
    <w:semiHidden/>
    <w:unhideWhenUsed/>
    <w:rsid w:val="009801C3"/>
    <w:pPr>
      <w:spacing w:line="240" w:lineRule="auto"/>
    </w:pPr>
    <w:rPr>
      <w:sz w:val="20"/>
      <w:szCs w:val="20"/>
    </w:rPr>
  </w:style>
  <w:style w:type="character" w:customStyle="1" w:styleId="NotedebasdepageCar">
    <w:name w:val="Note de bas de page Car"/>
    <w:basedOn w:val="Policepardfaut"/>
    <w:link w:val="Notedebasdepage"/>
    <w:uiPriority w:val="99"/>
    <w:semiHidden/>
    <w:rsid w:val="009801C3"/>
    <w:rPr>
      <w:sz w:val="20"/>
      <w:szCs w:val="20"/>
    </w:rPr>
  </w:style>
  <w:style w:type="character" w:styleId="Appelnotedebasdep">
    <w:name w:val="footnote reference"/>
    <w:basedOn w:val="Policepardfaut"/>
    <w:uiPriority w:val="99"/>
    <w:semiHidden/>
    <w:unhideWhenUsed/>
    <w:rsid w:val="009801C3"/>
    <w:rPr>
      <w:vertAlign w:val="superscript"/>
    </w:rPr>
  </w:style>
  <w:style w:type="character" w:styleId="Marquedecommentaire">
    <w:name w:val="annotation reference"/>
    <w:basedOn w:val="Policepardfaut"/>
    <w:uiPriority w:val="99"/>
    <w:semiHidden/>
    <w:unhideWhenUsed/>
    <w:rsid w:val="00616E14"/>
    <w:rPr>
      <w:sz w:val="16"/>
      <w:szCs w:val="16"/>
    </w:rPr>
  </w:style>
  <w:style w:type="paragraph" w:styleId="Commentaire">
    <w:name w:val="annotation text"/>
    <w:basedOn w:val="Normal"/>
    <w:link w:val="CommentaireCar"/>
    <w:uiPriority w:val="99"/>
    <w:semiHidden/>
    <w:unhideWhenUsed/>
    <w:rsid w:val="00616E14"/>
    <w:pPr>
      <w:spacing w:line="240" w:lineRule="auto"/>
    </w:pPr>
    <w:rPr>
      <w:sz w:val="20"/>
      <w:szCs w:val="20"/>
    </w:rPr>
  </w:style>
  <w:style w:type="character" w:customStyle="1" w:styleId="CommentaireCar">
    <w:name w:val="Commentaire Car"/>
    <w:basedOn w:val="Policepardfaut"/>
    <w:link w:val="Commentaire"/>
    <w:uiPriority w:val="99"/>
    <w:semiHidden/>
    <w:rsid w:val="00616E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6442">
      <w:bodyDiv w:val="1"/>
      <w:marLeft w:val="0"/>
      <w:marRight w:val="0"/>
      <w:marTop w:val="0"/>
      <w:marBottom w:val="0"/>
      <w:divBdr>
        <w:top w:val="none" w:sz="0" w:space="0" w:color="auto"/>
        <w:left w:val="none" w:sz="0" w:space="0" w:color="auto"/>
        <w:bottom w:val="none" w:sz="0" w:space="0" w:color="auto"/>
        <w:right w:val="none" w:sz="0" w:space="0" w:color="auto"/>
      </w:divBdr>
    </w:div>
    <w:div w:id="599796456">
      <w:bodyDiv w:val="1"/>
      <w:marLeft w:val="0"/>
      <w:marRight w:val="0"/>
      <w:marTop w:val="0"/>
      <w:marBottom w:val="0"/>
      <w:divBdr>
        <w:top w:val="none" w:sz="0" w:space="0" w:color="auto"/>
        <w:left w:val="none" w:sz="0" w:space="0" w:color="auto"/>
        <w:bottom w:val="none" w:sz="0" w:space="0" w:color="auto"/>
        <w:right w:val="none" w:sz="0" w:space="0" w:color="auto"/>
      </w:divBdr>
    </w:div>
    <w:div w:id="1144350343">
      <w:bodyDiv w:val="1"/>
      <w:marLeft w:val="0"/>
      <w:marRight w:val="0"/>
      <w:marTop w:val="0"/>
      <w:marBottom w:val="0"/>
      <w:divBdr>
        <w:top w:val="none" w:sz="0" w:space="0" w:color="auto"/>
        <w:left w:val="none" w:sz="0" w:space="0" w:color="auto"/>
        <w:bottom w:val="none" w:sz="0" w:space="0" w:color="auto"/>
        <w:right w:val="none" w:sz="0" w:space="0" w:color="auto"/>
      </w:divBdr>
    </w:div>
    <w:div w:id="1997100163">
      <w:bodyDiv w:val="1"/>
      <w:marLeft w:val="0"/>
      <w:marRight w:val="0"/>
      <w:marTop w:val="0"/>
      <w:marBottom w:val="0"/>
      <w:divBdr>
        <w:top w:val="none" w:sz="0" w:space="0" w:color="auto"/>
        <w:left w:val="none" w:sz="0" w:space="0" w:color="auto"/>
        <w:bottom w:val="none" w:sz="0" w:space="0" w:color="auto"/>
        <w:right w:val="none" w:sz="0" w:space="0" w:color="auto"/>
      </w:divBdr>
      <w:divsChild>
        <w:div w:id="2005622081">
          <w:marLeft w:val="144"/>
          <w:marRight w:val="0"/>
          <w:marTop w:val="240"/>
          <w:marBottom w:val="40"/>
          <w:divBdr>
            <w:top w:val="none" w:sz="0" w:space="0" w:color="auto"/>
            <w:left w:val="none" w:sz="0" w:space="0" w:color="auto"/>
            <w:bottom w:val="none" w:sz="0" w:space="0" w:color="auto"/>
            <w:right w:val="none" w:sz="0" w:space="0" w:color="auto"/>
          </w:divBdr>
        </w:div>
        <w:div w:id="979190818">
          <w:marLeft w:val="144"/>
          <w:marRight w:val="0"/>
          <w:marTop w:val="240"/>
          <w:marBottom w:val="40"/>
          <w:divBdr>
            <w:top w:val="none" w:sz="0" w:space="0" w:color="auto"/>
            <w:left w:val="none" w:sz="0" w:space="0" w:color="auto"/>
            <w:bottom w:val="none" w:sz="0" w:space="0" w:color="auto"/>
            <w:right w:val="none" w:sz="0" w:space="0" w:color="auto"/>
          </w:divBdr>
        </w:div>
        <w:div w:id="2052344052">
          <w:marLeft w:val="144"/>
          <w:marRight w:val="0"/>
          <w:marTop w:val="240"/>
          <w:marBottom w:val="40"/>
          <w:divBdr>
            <w:top w:val="none" w:sz="0" w:space="0" w:color="auto"/>
            <w:left w:val="none" w:sz="0" w:space="0" w:color="auto"/>
            <w:bottom w:val="none" w:sz="0" w:space="0" w:color="auto"/>
            <w:right w:val="none" w:sz="0" w:space="0" w:color="auto"/>
          </w:divBdr>
        </w:div>
        <w:div w:id="56171816">
          <w:marLeft w:val="144"/>
          <w:marRight w:val="0"/>
          <w:marTop w:val="240"/>
          <w:marBottom w:val="40"/>
          <w:divBdr>
            <w:top w:val="none" w:sz="0" w:space="0" w:color="auto"/>
            <w:left w:val="none" w:sz="0" w:space="0" w:color="auto"/>
            <w:bottom w:val="none" w:sz="0" w:space="0" w:color="auto"/>
            <w:right w:val="none" w:sz="0" w:space="0" w:color="auto"/>
          </w:divBdr>
        </w:div>
        <w:div w:id="2123263319">
          <w:marLeft w:val="144"/>
          <w:marRight w:val="0"/>
          <w:marTop w:val="240"/>
          <w:marBottom w:val="40"/>
          <w:divBdr>
            <w:top w:val="none" w:sz="0" w:space="0" w:color="auto"/>
            <w:left w:val="none" w:sz="0" w:space="0" w:color="auto"/>
            <w:bottom w:val="none" w:sz="0" w:space="0" w:color="auto"/>
            <w:right w:val="none" w:sz="0" w:space="0" w:color="auto"/>
          </w:divBdr>
        </w:div>
        <w:div w:id="805389563">
          <w:marLeft w:val="144"/>
          <w:marRight w:val="0"/>
          <w:marTop w:val="240"/>
          <w:marBottom w:val="40"/>
          <w:divBdr>
            <w:top w:val="none" w:sz="0" w:space="0" w:color="auto"/>
            <w:left w:val="none" w:sz="0" w:space="0" w:color="auto"/>
            <w:bottom w:val="none" w:sz="0" w:space="0" w:color="auto"/>
            <w:right w:val="none" w:sz="0" w:space="0" w:color="auto"/>
          </w:divBdr>
        </w:div>
        <w:div w:id="322895885">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F648D-7372-458F-BD8E-F7D348B2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311</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r</dc:creator>
  <cp:lastModifiedBy>michel.durampart</cp:lastModifiedBy>
  <cp:revision>4</cp:revision>
  <dcterms:created xsi:type="dcterms:W3CDTF">2021-06-07T10:05:00Z</dcterms:created>
  <dcterms:modified xsi:type="dcterms:W3CDTF">2021-06-08T07:12:00Z</dcterms:modified>
</cp:coreProperties>
</file>